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val="0"/>
          <w:bCs/>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发至邮箱</w:t>
      </w:r>
      <w:r>
        <w:rPr>
          <w:rFonts w:hint="eastAsia" w:ascii="仿宋" w:hAnsi="仿宋" w:eastAsia="仿宋" w:cs="仿宋"/>
          <w:b w:val="0"/>
          <w:color w:val="auto"/>
          <w:sz w:val="32"/>
          <w:szCs w:val="32"/>
          <w:lang w:val="en-US" w:eastAsia="zh-CN"/>
        </w:rPr>
        <w:t>sjzsrmyymzb@163.com</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6</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7</w:t>
      </w:r>
      <w:r>
        <w:rPr>
          <w:rFonts w:hint="eastAsia" w:ascii="仿宋" w:hAnsi="仿宋" w:eastAsia="仿宋" w:cs="仿宋"/>
          <w:b w:val="0"/>
          <w:color w:val="auto"/>
          <w:sz w:val="32"/>
          <w:szCs w:val="32"/>
        </w:rPr>
        <w:t>日</w:t>
      </w:r>
      <w:r>
        <w:rPr>
          <w:rFonts w:hint="eastAsia" w:ascii="仿宋" w:hAnsi="仿宋" w:eastAsia="仿宋" w:cs="仿宋"/>
          <w:b w:val="0"/>
          <w:color w:val="auto"/>
          <w:sz w:val="32"/>
          <w:szCs w:val="32"/>
          <w:lang w:val="en-US" w:eastAsia="zh-CN"/>
        </w:rPr>
        <w:t>17:00</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 xml:space="preserve">报名地址：石家庄市建华南大街365号  </w:t>
      </w:r>
      <w:bookmarkStart w:id="0" w:name="_GoBack"/>
      <w:bookmarkEnd w:id="0"/>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69089025</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门诊部</w:t>
      </w:r>
    </w:p>
    <w:p>
      <w:pPr>
        <w:keepNext w:val="0"/>
        <w:keepLines w:val="0"/>
        <w:pageBreakBefore w:val="0"/>
        <w:kinsoku/>
        <w:wordWrap/>
        <w:overflowPunct/>
        <w:topLinePunct w:val="0"/>
        <w:autoSpaceDE/>
        <w:autoSpaceDN/>
        <w:bidi w:val="0"/>
        <w:adjustRightInd/>
        <w:snapToGrid/>
        <w:spacing w:afterAutospacing="0" w:line="500" w:lineRule="exact"/>
        <w:ind w:firstLine="640" w:firstLineChars="200"/>
        <w:jc w:val="right"/>
        <w:textAlignment w:val="auto"/>
        <w:rPr>
          <w:rFonts w:hint="eastAsia" w:ascii="宋体" w:hAnsi="宋体" w:cs="宋体"/>
          <w:color w:val="auto"/>
          <w:sz w:val="28"/>
          <w:szCs w:val="28"/>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rPr>
        <w:t>日</w:t>
      </w: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p>
    <w:tbl>
      <w:tblPr>
        <w:tblStyle w:val="7"/>
        <w:tblpPr w:leftFromText="180" w:rightFromText="180" w:vertAnchor="text" w:horzAnchor="page" w:tblpX="808" w:tblpY="131"/>
        <w:tblOverlap w:val="never"/>
        <w:tblW w:w="107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1037"/>
        <w:gridCol w:w="581"/>
        <w:gridCol w:w="8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项目</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编码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项目</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名称</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数量</w:t>
            </w:r>
          </w:p>
        </w:tc>
        <w:tc>
          <w:tcPr>
            <w:tcW w:w="8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240327-10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反角手机（根管预备机配件</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（第三次征集）</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根管治疗中使用：</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1.控制主机:额定输入DC20V，0.5A；输出DC7V，0.4A；充电时间</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约5小时；尺寸宽&lt;100mm,长&lt;170mm,高&lt;150mm；重量小于等于500 克。</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2.手机马达:重量小于等于100g(包含电缆线重量)。</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3.减速比为16:1的弯机头。</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4.马达可以调节的程序:转速，扭矩，减速比三个数据为一组，马达可以保存9个或以上程序。</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5.转速可调节范围:120-800rpm；扭矩可调节范围:0.6~5.2Ncm。</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6.马达含有自动反转功能，有效防止断针。        7.马达兼容市场上绝大多数镍钛器械。</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8.马达机头6个方向调节、无论前牙后牙上颌下颌均能轻松预备。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240327-13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根管测量仪</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（第三次征集）</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用于牙科临床根管治疗时辅助确定各型牙齿根管的工作长度：</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1.电池:3.7V/750mAh。          2.电源适配器:100V-240V，50Hz/60Hz，0.4A Max。</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3.输出信号电压:≤200mV。      4.输出信号频率:&lt;8kHz</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5.功耗:≤0.5W。               6.显示:4.5英寸LCD屏</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7.声响提示:锉针在距离根尖小于 2mm 时会有报警声提示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240327-14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封口</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机</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（第三次征集）</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用于纸塑袋、纸塑立体袋和特卫强袋、特卫强卷袋等需要现场进行热封和打印处理，完全适应高温蒸汽灭菌、低温环氧：</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1.采用连续的封口方式，不受带宽限制，速度快、效率高、控温精准、操作方便、封口质量稳定，具有计数功能。</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打印功能：中英文打印系统，具备窄体、正常、宽体三种打印字体选择形式，同时结合符号的打印形式，实现单行打印，设置打印事项简便快捷，可打印项目依次为：灭菌日期、失效日期、灭菌批次、灭菌器号、操作者、物品名称以及自定义内容等。</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3.快速升温速度： 20℃升至180℃40秒左右，常用工作温度从120℃变换至180℃10秒左右。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520-11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水浴箱</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（第二次征集）</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不锈钢内胆,圆弧角设计,不锈钢双层上盖,抑制水汽冷凝。</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智能控温。</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便捷操作,定值运行,定时运行,自动停止。</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专用功能键实现温度设定。</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辅助菜单,实现过升报警</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偏差修正</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菜单锁定。</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使用温度范围:HHW:RT+5~65℃</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温度分辨率:0.1℃</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7.容积≥30L,工作室宽深高约600*300*200mm。</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8.</w:t>
            </w:r>
            <w:r>
              <w:rPr>
                <w:rFonts w:hint="eastAsia" w:asciiTheme="majorEastAsia" w:hAnsiTheme="majorEastAsia" w:eastAsiaTheme="majorEastAsia" w:cstheme="majorEastAsia"/>
                <w:color w:val="auto"/>
                <w:sz w:val="21"/>
                <w:szCs w:val="21"/>
                <w:highlight w:val="none"/>
              </w:rPr>
              <w:t>温度波动度:±0.5℃</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温度分布精度:±1℃</w:t>
            </w:r>
            <w:r>
              <w:rPr>
                <w:rFonts w:hint="eastAsia" w:asciiTheme="majorEastAsia" w:hAnsiTheme="majorEastAsia" w:eastAsiaTheme="majorEastAsia" w:cstheme="majorEastAsia"/>
                <w:color w:val="auto"/>
                <w:sz w:val="21"/>
                <w:szCs w:val="21"/>
                <w:highlight w:val="none"/>
                <w:lang w:eastAsia="zh-CN"/>
              </w:rPr>
              <w:t>。</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9.</w:t>
            </w:r>
            <w:r>
              <w:rPr>
                <w:rFonts w:hint="eastAsia" w:asciiTheme="majorEastAsia" w:hAnsiTheme="majorEastAsia" w:eastAsiaTheme="majorEastAsia" w:cstheme="majorEastAsia"/>
                <w:color w:val="auto"/>
                <w:sz w:val="21"/>
                <w:szCs w:val="21"/>
                <w:highlight w:val="none"/>
              </w:rPr>
              <w:t>升温时间:≤40分钟</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520-41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观片灯</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（第二次征集）</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1.双联；2.光源、寿命：超亮LED、≥10万小时；3.供电电源：AC90-220V/ 50-60HZ; 4.观片灯评价亮度：可调式（300cd/㎡-4000cd/㎡）；5.观片灯亮度均匀性：≥90%； 6. 外形尺寸900mmX500mmX（20-25）mm左右； 7.安装类型：壁挂式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520-53</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显微镜</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（第二次征集）</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1光学系统：无限远校正光学系统，齐焦距离≤45mm；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2明场照明装置：全柯勒照明，长寿命LED透射光源，寿命≥30000小时，具有智能光强管理功能，可精确记忆每颗物镜的光强；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3载物台：高抗磨损性圆角无槽载物台，带控制手柄，配备双玻片样本夹；</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4观察镜筒：三目观察筒，50:50分光，视场数≥22mm，可连接摄像头；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5目镜：10倍目镜，视场数≥22mm，两个目镜均具有屈光度校正功能；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6物镜：针对正置显微镜应用优化的高分辨率、高透过率物镜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6.1新型平场消色差物镜 4×，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6.2新型平场消色差物镜 10×，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6.3新型平场消色差物镜 20×，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6.4新型平场消色差物镜 40×，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7物镜转换器：编码物镜转盘≥5位，具备光强管理功能；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8具有ECO节能模式，在一段时间未操作后，自动进入睡眠状态；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9显微镜机身：两侧带有5级蓝色LED光强指示，背部包含线缆绕线支架，方便收纳电源线。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520-72</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麻醉深度监测仪</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（第二次征集）</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系统组成</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由主机、导联线、电源线、电源适配器和功能接地线等组成，一体机，无需外挂子机</w:t>
            </w:r>
            <w:r>
              <w:rPr>
                <w:rFonts w:hint="eastAsia" w:asciiTheme="majorEastAsia" w:hAnsiTheme="majorEastAsia" w:eastAsiaTheme="majorEastAsia" w:cstheme="majorEastAsia"/>
                <w:color w:val="auto"/>
                <w:sz w:val="21"/>
                <w:szCs w:val="21"/>
                <w:highlight w:val="none"/>
                <w:lang w:eastAsia="zh-CN"/>
              </w:rPr>
              <w:t>。</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输入方式</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电阻式触摸输入</w:t>
            </w:r>
            <w:r>
              <w:rPr>
                <w:rFonts w:hint="eastAsia" w:asciiTheme="majorEastAsia" w:hAnsiTheme="majorEastAsia" w:eastAsiaTheme="majorEastAsia" w:cstheme="majorEastAsia"/>
                <w:color w:val="auto"/>
                <w:sz w:val="21"/>
                <w:szCs w:val="21"/>
                <w:highlight w:val="none"/>
                <w:lang w:eastAsia="zh-CN"/>
              </w:rPr>
              <w:t>。</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麻醉深度指数CSI(Cerebral State Index)</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贯穿整个麻醉手术的全部过程，实时监测和反映临床麻醉中手术病人的意识状态——镇静程度和麻醉深度。CSI的范围为0~100（从无脑电信号~完全清醒），40~60为最佳外科手术麻醉状态</w:t>
            </w:r>
            <w:r>
              <w:rPr>
                <w:rFonts w:hint="eastAsia" w:asciiTheme="majorEastAsia" w:hAnsiTheme="majorEastAsia" w:eastAsiaTheme="majorEastAsia" w:cstheme="majorEastAsia"/>
                <w:color w:val="auto"/>
                <w:sz w:val="21"/>
                <w:szCs w:val="21"/>
                <w:highlight w:val="none"/>
                <w:lang w:eastAsia="zh-CN"/>
              </w:rPr>
              <w:t>。</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CSI计算时间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传感器连接后，2S内，实时计算并显示CSI值。</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肌电信号指数EMG</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范围0~100%，</w:t>
            </w:r>
            <w:r>
              <w:rPr>
                <w:rFonts w:hint="eastAsia" w:asciiTheme="majorEastAsia" w:hAnsiTheme="majorEastAsia" w:eastAsiaTheme="majorEastAsia" w:cstheme="majorEastAsia"/>
                <w:color w:val="auto"/>
                <w:sz w:val="21"/>
                <w:szCs w:val="21"/>
                <w:highlight w:val="none"/>
                <w:lang w:eastAsia="zh-CN"/>
              </w:rPr>
              <w:t>表示肌电活动的总功率，间接反映了患者的肌松程度</w:t>
            </w:r>
            <w:r>
              <w:rPr>
                <w:rFonts w:hint="eastAsia" w:asciiTheme="majorEastAsia" w:hAnsiTheme="majorEastAsia" w:eastAsiaTheme="majorEastAsia" w:cstheme="majorEastAsia"/>
                <w:color w:val="auto"/>
                <w:sz w:val="21"/>
                <w:szCs w:val="21"/>
                <w:highlight w:val="none"/>
              </w:rPr>
              <w:t>。每秒更新</w:t>
            </w:r>
            <w:r>
              <w:rPr>
                <w:rFonts w:hint="eastAsia" w:asciiTheme="majorEastAsia" w:hAnsiTheme="majorEastAsia" w:eastAsiaTheme="majorEastAsia" w:cstheme="majorEastAsia"/>
                <w:color w:val="auto"/>
                <w:sz w:val="21"/>
                <w:szCs w:val="21"/>
                <w:highlight w:val="none"/>
                <w:lang w:eastAsia="zh-CN"/>
              </w:rPr>
              <w:t>。</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爆发抑制比BS</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范围0~100%，可以给麻醉师对术中用药过量实时提示，保证手术的安全性。每秒更新</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CSI趋势图</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实时意识镇静深度指数展示，同时展示CSI值的变化曲线图。显示整个麻醉过程患者诱导、维持、恢复的意识镇静水平。</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抗干扰</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有效肌电过滤、抗工频干扰，抗肌电干扰。</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抗高频电刀</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完全抗电刀（电刀操作时，监测数据连续、无中断，无</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显示）</w:t>
            </w:r>
            <w:r>
              <w:rPr>
                <w:rFonts w:hint="eastAsia" w:asciiTheme="majorEastAsia" w:hAnsiTheme="majorEastAsia" w:eastAsiaTheme="majorEastAsia" w:cstheme="majorEastAsia"/>
                <w:color w:val="auto"/>
                <w:sz w:val="21"/>
                <w:szCs w:val="21"/>
                <w:highlight w:val="none"/>
                <w:lang w:eastAsia="zh-CN"/>
              </w:rPr>
              <w:t>。</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连接手术麻醉系统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支持接入手术麻醉系统，和手术麻醉系统之间网络传输和数据交换（含网络端口，具有动态IP设置）</w:t>
            </w:r>
            <w:r>
              <w:rPr>
                <w:rFonts w:hint="eastAsia" w:asciiTheme="majorEastAsia" w:hAnsiTheme="majorEastAsia" w:eastAsiaTheme="majorEastAsia" w:cstheme="majorEastAsia"/>
                <w:color w:val="auto"/>
                <w:sz w:val="21"/>
                <w:szCs w:val="21"/>
                <w:highlight w:val="none"/>
                <w:lang w:eastAsia="zh-CN"/>
              </w:rPr>
              <w:t>。</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打印功能</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可将数据导出打印，打印波段可选，可打印出特定时段的曲线。</w:t>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兼容性：具备与本院手术麻醉系统的完好兼容性，并承诺配合完成系统的对接工作。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输血输液加压加温仪</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（第二次征集）</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tbl>
            <w:tblPr>
              <w:tblStyle w:val="7"/>
              <w:tblpPr w:leftFromText="180" w:rightFromText="180" w:vertAnchor="text" w:horzAnchor="page" w:tblpX="1881" w:tblpY="47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7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w:t>
                  </w:r>
                </w:p>
              </w:tc>
              <w:tc>
                <w:tcPr>
                  <w:tcW w:w="7796" w:type="dxa"/>
                  <w:tcBorders>
                    <w:top w:val="nil"/>
                    <w:left w:val="nil"/>
                    <w:bottom w:val="nil"/>
                    <w:right w:val="nil"/>
                    <w:tl2br w:val="nil"/>
                    <w:tr2bl w:val="nil"/>
                  </w:tcBorders>
                  <w:shd w:val="clear" w:color="auto" w:fill="FFFFFF"/>
                  <w:vAlign w:val="center"/>
                </w:tcPr>
                <w:p>
                  <w:pPr>
                    <w:pStyle w:val="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基础参数：加压、加温功能一体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7796" w:type="dxa"/>
                  <w:tcBorders>
                    <w:top w:val="nil"/>
                    <w:left w:val="nil"/>
                    <w:bottom w:val="nil"/>
                    <w:right w:val="nil"/>
                    <w:tl2br w:val="nil"/>
                    <w:tr2bl w:val="nil"/>
                  </w:tcBorders>
                  <w:shd w:val="clear" w:color="auto" w:fill="FFFFFF"/>
                  <w:vAlign w:val="center"/>
                </w:tcPr>
                <w:p>
                  <w:pPr>
                    <w:pStyle w:val="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适用于临床上输液输血时的快速加压、加温输入，以帮助血液、血浆、营养液、冲洗液、灌洗液、心脏停搏液等袋装液体加速输出。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7796" w:type="dxa"/>
                  <w:tcBorders>
                    <w:top w:val="nil"/>
                    <w:left w:val="nil"/>
                    <w:bottom w:val="nil"/>
                    <w:right w:val="nil"/>
                    <w:tl2br w:val="nil"/>
                    <w:tr2bl w:val="nil"/>
                  </w:tcBorders>
                  <w:shd w:val="clear" w:color="auto" w:fill="FFFFFF"/>
                  <w:vAlign w:val="center"/>
                </w:tcPr>
                <w:p>
                  <w:pPr>
                    <w:tabs>
                      <w:tab w:val="left" w:pos="828"/>
                      <w:tab w:val="left" w:pos="2268"/>
                      <w:tab w:val="left" w:pos="3348"/>
                      <w:tab w:val="left" w:pos="8028"/>
                    </w:tabs>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工作模式：加温和加压通道可独立运行，也可同时工作，加温双通道可独立或协同工作。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7796" w:type="dxa"/>
                  <w:tcBorders>
                    <w:top w:val="nil"/>
                    <w:left w:val="nil"/>
                    <w:bottom w:val="nil"/>
                    <w:right w:val="nil"/>
                    <w:tl2br w:val="nil"/>
                    <w:tr2bl w:val="nil"/>
                  </w:tcBorders>
                  <w:shd w:val="clear" w:color="auto" w:fill="FFFFFF"/>
                  <w:vAlign w:val="center"/>
                </w:tcPr>
                <w:p>
                  <w:pPr>
                    <w:tabs>
                      <w:tab w:val="left" w:pos="828"/>
                      <w:tab w:val="left" w:pos="2268"/>
                      <w:tab w:val="left" w:pos="3348"/>
                      <w:tab w:val="left" w:pos="8028"/>
                    </w:tabs>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zh-CN"/>
                    </w:rPr>
                    <w:t>适用范围：</w:t>
                  </w:r>
                  <w:r>
                    <w:rPr>
                      <w:rFonts w:hint="eastAsia" w:asciiTheme="majorEastAsia" w:hAnsiTheme="majorEastAsia" w:eastAsiaTheme="majorEastAsia" w:cstheme="majorEastAsia"/>
                      <w:color w:val="auto"/>
                      <w:sz w:val="21"/>
                      <w:szCs w:val="21"/>
                      <w:highlight w:val="none"/>
                    </w:rPr>
                    <w:t>满足临床输血和输液加温而设计的包裹式加温并可以为输注液体提供恒定压力的加温仪，</w:t>
                  </w:r>
                  <w:r>
                    <w:rPr>
                      <w:rFonts w:hint="eastAsia" w:asciiTheme="majorEastAsia" w:hAnsiTheme="majorEastAsia" w:eastAsiaTheme="majorEastAsia" w:cstheme="majorEastAsia"/>
                      <w:color w:val="auto"/>
                      <w:sz w:val="21"/>
                      <w:szCs w:val="21"/>
                      <w:highlight w:val="none"/>
                      <w:lang w:val="zh-CN"/>
                    </w:rPr>
                    <w:t>用于输血、输液过程中对输液</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zh-CN"/>
                    </w:rPr>
                    <w:t>输血</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zh-CN"/>
                    </w:rPr>
                    <w:t>管路内的液体进行即时加温</w:t>
                  </w:r>
                  <w:r>
                    <w:rPr>
                      <w:rFonts w:hint="eastAsia" w:asciiTheme="majorEastAsia" w:hAnsiTheme="majorEastAsia" w:eastAsiaTheme="majorEastAsia" w:cstheme="majorEastAsia"/>
                      <w:color w:val="auto"/>
                      <w:sz w:val="21"/>
                      <w:szCs w:val="21"/>
                      <w:highlight w:val="none"/>
                    </w:rPr>
                    <w:t>加压。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主机结构：一体化支架提手，方便移动仪器和固定加热管；薄膜轻触按键，操作可靠。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配置微电脑温控系统，≥5.0英寸IPS屏，可同时显示加压、加温工作信息。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屏幕监测数据包括：设定压力值、当前压力值、设定温度、当前温度，加热时间、故障信息；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加压功能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加压模式：自动加压，无需外置加压泵</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压力范围：10-300mmHg，调整步距5mmHg和10mmHg两档可选</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压力精度：设定值±5%或±5mmHg</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快速加压：25s内可达到300mmHg</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5</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恒定压力：具备独立压力监测柱，随着液体量减少，自动补充压力，保持恒定设置的压力值，可以自动保持恒压，自动控制，无需人工干预。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6</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压力显示：通过输血输液加压加温仪操作面板调节压力设置，按照设定压力加压，并在显示屏显示当前压力。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7</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超压报警：加压工作状态下，连续10秒钟测到的压力高于设定值的20mmHg时，发出声音报警，显示屏显示“超压报警”。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加温功能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通道独立控温：双通道互不干扰，可设置不同温度，可独立或协同工作</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预热时间：从20℃-38℃小于2分钟</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温度可调范围：33℃-42℃，连续可调，0.1℃/1.0℃步进可选</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控温精度为±1.0℃</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5</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高温报警：超过44℃系统声光报警，发出报警屏幕显示“高温报警”</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6</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低温报警：开始加温5分钟后温度低于32℃，发出报警，屏幕显示“低温报警”</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7.</w:t>
                  </w:r>
                </w:p>
              </w:tc>
              <w:tc>
                <w:tcPr>
                  <w:tcW w:w="7796" w:type="dxa"/>
                  <w:tcBorders>
                    <w:top w:val="nil"/>
                    <w:left w:val="nil"/>
                    <w:bottom w:val="nil"/>
                    <w:right w:val="nil"/>
                    <w:tl2br w:val="nil"/>
                    <w:tr2bl w:val="nil"/>
                  </w:tcBorders>
                  <w:shd w:val="clear" w:color="auto" w:fill="FFFFFF"/>
                  <w:vAlign w:val="center"/>
                </w:tcPr>
                <w:p>
                  <w:pPr>
                    <w:pStyle w:val="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故障报警和故障提示：加压通道故障报警、超压报警高温报警、传感器故障报警、加温器件故障报警、低温报警；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8.</w:t>
                  </w:r>
                </w:p>
              </w:tc>
              <w:tc>
                <w:tcPr>
                  <w:tcW w:w="7796" w:type="dxa"/>
                  <w:tcBorders>
                    <w:top w:val="nil"/>
                    <w:left w:val="nil"/>
                    <w:bottom w:val="nil"/>
                    <w:right w:val="nil"/>
                    <w:tl2br w:val="nil"/>
                    <w:tr2bl w:val="nil"/>
                  </w:tcBorders>
                  <w:shd w:val="clear" w:color="auto" w:fill="FFFFFF"/>
                  <w:vAlign w:val="center"/>
                </w:tcPr>
                <w:p>
                  <w:pPr>
                    <w:pStyle w:val="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报警提示包括：声音、灯光提示、报警信息文字，可快速进行报警排查。</w:t>
                  </w:r>
                </w:p>
              </w:tc>
            </w:tr>
          </w:tbl>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520-81</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麻醉药品智能管理设备（第二次征集）</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tbl>
            <w:tblPr>
              <w:tblStyle w:val="7"/>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60" w:type="dxa"/>
                  <w:vAlign w:val="center"/>
                </w:tcPr>
                <w:p>
                  <w:pPr>
                    <w:spacing w:line="240" w:lineRule="atLeast"/>
                    <w:rPr>
                      <w:rFonts w:hint="eastAsia" w:asciiTheme="majorEastAsia" w:hAnsiTheme="majorEastAsia" w:eastAsiaTheme="majorEastAsia" w:cstheme="majorEastAsia"/>
                      <w:color w:val="auto"/>
                      <w:kern w:val="0"/>
                      <w:sz w:val="21"/>
                      <w:szCs w:val="21"/>
                      <w:highlight w:val="none"/>
                    </w:rPr>
                  </w:pP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此设备为组合设备, 含一个主柜和一个副柜，可根据需求进行拆分和组合，并可根据医院要求定制硬件和软件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硬件要求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1.1</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rPr>
                    <w:t>主柜和副柜的机柜尺寸均为：柜体高度≤200cm（要求为柜体净尺寸）；柜体厚度≤60cm（要求为柜体净尺寸）；柜体宽度≤70cm（要求为柜体净尺寸）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1.2</w:t>
                  </w:r>
                </w:p>
              </w:tc>
              <w:tc>
                <w:tcPr>
                  <w:tcW w:w="7837" w:type="dxa"/>
                  <w:vAlign w:val="center"/>
                </w:tcPr>
                <w:p>
                  <w:pPr>
                    <w:spacing w:before="60" w:after="60" w:line="240" w:lineRule="atLeas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主柜和副柜的主体框架材质要求：主体框架、抽屉、抽屉面板均采用冷轧钢板制作而成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1.3</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rPr>
                    <w:t>主柜由三部分组成，为上中下结构：上部须安装单个正面开启的锁控铁皮门；中部为用户操作平台，须安装触摸屏显示器、键盘、指纹、刷卡器等；下部须设置至少10层抽屉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▲1.3.1</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主柜中部为用户操作平台，显示器须不小于21寸触摸屏，分辨率≥1440×900（须提供清晰实物照片的图片证明及视频证明材料）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bidi="en-US"/>
                    </w:rPr>
                    <w:t>▲1.3.2</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rPr>
                    <w:t>主柜上部安装的正面开启的铁皮门上，须安装两个应急机械锁并配有相应钥匙，能够利用钥匙，手工打开此铁皮门（须提供清晰实物照片的图片证明及视频证明材料）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抽屉部分：抽屉按功能分为受控抽屉和非受控抽屉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1.4.1</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受控抽屉内须安装受控药盒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1.4.2</w:t>
                  </w:r>
                </w:p>
              </w:tc>
              <w:tc>
                <w:tcPr>
                  <w:tcW w:w="7837" w:type="dxa"/>
                  <w:vAlign w:val="center"/>
                </w:tcPr>
                <w:p>
                  <w:pPr>
                    <w:autoSpaceDE w:val="0"/>
                    <w:autoSpaceDN w:val="0"/>
                    <w:adjustRightInd w:val="0"/>
                    <w:spacing w:line="468" w:lineRule="exact"/>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受控抽屉内须安装受控药盒，每个受控药盒须有盒盖；</w:t>
                  </w:r>
                  <w:r>
                    <w:rPr>
                      <w:rFonts w:hint="eastAsia" w:asciiTheme="majorEastAsia" w:hAnsiTheme="majorEastAsia" w:eastAsiaTheme="majorEastAsia" w:cstheme="majorEastAsia"/>
                      <w:color w:val="auto"/>
                      <w:kern w:val="0"/>
                      <w:sz w:val="21"/>
                      <w:szCs w:val="21"/>
                      <w:highlight w:val="none"/>
                    </w:rPr>
                    <w:t>药盒盒盖平时处于锁闭状态，点击取药界面时盒盖才会自动垂直开启，确保取药安全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▲1.4.3</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须设置一层受控抽屉安装≥30个单支受控小药盒，每个受控药盒须有盒盖；</w:t>
                  </w:r>
                  <w:r>
                    <w:rPr>
                      <w:rFonts w:hint="eastAsia" w:asciiTheme="majorEastAsia" w:hAnsiTheme="majorEastAsia" w:eastAsiaTheme="majorEastAsia" w:cstheme="majorEastAsia"/>
                      <w:color w:val="auto"/>
                      <w:kern w:val="0"/>
                      <w:sz w:val="21"/>
                      <w:szCs w:val="21"/>
                      <w:highlight w:val="none"/>
                    </w:rPr>
                    <w:t>药盒盒盖平时处于锁闭状态，点击取药界面时盒盖才会自动垂直开启。</w:t>
                  </w:r>
                  <w:r>
                    <w:rPr>
                      <w:rFonts w:hint="eastAsia" w:asciiTheme="majorEastAsia" w:hAnsiTheme="majorEastAsia" w:eastAsiaTheme="majorEastAsia" w:cstheme="majorEastAsia"/>
                      <w:color w:val="auto"/>
                      <w:sz w:val="21"/>
                      <w:szCs w:val="21"/>
                      <w:highlight w:val="none"/>
                    </w:rPr>
                    <w:t>每个药盒内须存储至少1支≤5ml 针剂药品；每个药盒须长≥10厘米,宽度≥5厘米；软件须自动计数每支药品的存取数量 （须提供清晰实物照片的图片证明及视频证明材料）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▲1.4.4</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须设置一层受控抽屉管控≤2ml针剂药品；此层抽屉须安装≥41个受控药盒；每个受控药盒须有盒盖，</w:t>
                  </w:r>
                  <w:r>
                    <w:rPr>
                      <w:rFonts w:hint="eastAsia" w:asciiTheme="majorEastAsia" w:hAnsiTheme="majorEastAsia" w:eastAsiaTheme="majorEastAsia" w:cstheme="majorEastAsia"/>
                      <w:color w:val="auto"/>
                      <w:kern w:val="0"/>
                      <w:sz w:val="21"/>
                      <w:szCs w:val="21"/>
                      <w:highlight w:val="none"/>
                    </w:rPr>
                    <w:t>药盒盒盖平时处于锁闭状态，点击取药界面时盒盖才会自动垂直开启；</w:t>
                  </w:r>
                  <w:r>
                    <w:rPr>
                      <w:rFonts w:hint="eastAsia" w:asciiTheme="majorEastAsia" w:hAnsiTheme="majorEastAsia" w:eastAsiaTheme="majorEastAsia" w:cstheme="majorEastAsia"/>
                      <w:color w:val="auto"/>
                      <w:sz w:val="21"/>
                      <w:szCs w:val="21"/>
                      <w:highlight w:val="none"/>
                    </w:rPr>
                    <w:t>每个受控药盒</w:t>
                  </w:r>
                  <w:r>
                    <w:rPr>
                      <w:rFonts w:hint="eastAsia" w:asciiTheme="majorEastAsia" w:hAnsiTheme="majorEastAsia" w:eastAsiaTheme="majorEastAsia" w:cstheme="majorEastAsia"/>
                      <w:color w:val="auto"/>
                      <w:kern w:val="0"/>
                      <w:sz w:val="21"/>
                      <w:szCs w:val="21"/>
                      <w:highlight w:val="none"/>
                    </w:rPr>
                    <w:t>内部为每支药品配备独立的存储空间与传感器，每支药品均有一个可以插入的孔位，孔位中配有传感器装置，</w:t>
                  </w:r>
                  <w:r>
                    <w:rPr>
                      <w:rFonts w:hint="eastAsia" w:asciiTheme="majorEastAsia" w:hAnsiTheme="majorEastAsia" w:eastAsiaTheme="majorEastAsia" w:cstheme="majorEastAsia"/>
                      <w:color w:val="auto"/>
                      <w:sz w:val="21"/>
                      <w:szCs w:val="21"/>
                      <w:highlight w:val="none"/>
                    </w:rPr>
                    <w:t>软件能</w:t>
                  </w:r>
                  <w:r>
                    <w:rPr>
                      <w:rFonts w:hint="eastAsia" w:asciiTheme="majorEastAsia" w:hAnsiTheme="majorEastAsia" w:eastAsiaTheme="majorEastAsia" w:cstheme="majorEastAsia"/>
                      <w:color w:val="auto"/>
                      <w:kern w:val="0"/>
                      <w:sz w:val="21"/>
                      <w:szCs w:val="21"/>
                      <w:highlight w:val="none"/>
                    </w:rPr>
                    <w:t>自动记录取药及补充药品数量；此层抽屉</w:t>
                  </w:r>
                  <w:r>
                    <w:rPr>
                      <w:rFonts w:hint="eastAsia" w:asciiTheme="majorEastAsia" w:hAnsiTheme="majorEastAsia" w:eastAsiaTheme="majorEastAsia" w:cstheme="majorEastAsia"/>
                      <w:color w:val="auto"/>
                      <w:sz w:val="21"/>
                      <w:szCs w:val="21"/>
                      <w:highlight w:val="none"/>
                    </w:rPr>
                    <w:t>每一列须安装≥6个受控药盒且每个药盒内须存储≥6支针剂药品；此层抽屉须可存储≥250支针剂药品，并能进行单支感应计数</w:t>
                  </w:r>
                  <w:r>
                    <w:rPr>
                      <w:rFonts w:hint="eastAsia" w:asciiTheme="majorEastAsia" w:hAnsiTheme="majorEastAsia" w:eastAsiaTheme="majorEastAsia" w:cstheme="majorEastAsia"/>
                      <w:color w:val="auto"/>
                      <w:kern w:val="0"/>
                      <w:sz w:val="21"/>
                      <w:szCs w:val="21"/>
                      <w:highlight w:val="none"/>
                    </w:rPr>
                    <w:t>（要求提供每种药品的孔位、盒盖自动弹开、及药品存量的实物照片的图片证明及视频证明材料）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▲1.4.5</w:t>
                  </w:r>
                </w:p>
              </w:tc>
              <w:tc>
                <w:tcPr>
                  <w:tcW w:w="7837" w:type="dxa"/>
                  <w:vAlign w:val="center"/>
                </w:tcPr>
                <w:p>
                  <w:pPr>
                    <w:autoSpaceDE w:val="0"/>
                    <w:autoSpaceDN w:val="0"/>
                    <w:adjustRightInd w:val="0"/>
                    <w:spacing w:line="468" w:lineRule="exact"/>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须设置一层受控抽屉管控西林瓶药品；此层抽屉须安装≥41个受控药盒；每个受控药盒须有盒盖，</w:t>
                  </w:r>
                  <w:r>
                    <w:rPr>
                      <w:rFonts w:hint="eastAsia" w:asciiTheme="majorEastAsia" w:hAnsiTheme="majorEastAsia" w:eastAsiaTheme="majorEastAsia" w:cstheme="majorEastAsia"/>
                      <w:color w:val="auto"/>
                      <w:kern w:val="0"/>
                      <w:sz w:val="21"/>
                      <w:szCs w:val="21"/>
                      <w:highlight w:val="none"/>
                    </w:rPr>
                    <w:t>药盒盒盖平时处于锁闭状态，点击取药界面时盒盖才会自动垂直开启</w:t>
                  </w:r>
                  <w:r>
                    <w:rPr>
                      <w:rFonts w:hint="eastAsia" w:asciiTheme="majorEastAsia" w:hAnsiTheme="majorEastAsia" w:eastAsiaTheme="majorEastAsia" w:cstheme="majorEastAsia"/>
                      <w:color w:val="auto"/>
                      <w:sz w:val="21"/>
                      <w:szCs w:val="21"/>
                      <w:highlight w:val="none"/>
                    </w:rPr>
                    <w:t>；每个受控</w:t>
                  </w:r>
                  <w:r>
                    <w:rPr>
                      <w:rFonts w:hint="eastAsia" w:asciiTheme="majorEastAsia" w:hAnsiTheme="majorEastAsia" w:eastAsiaTheme="majorEastAsia" w:cstheme="majorEastAsia"/>
                      <w:color w:val="auto"/>
                      <w:kern w:val="0"/>
                      <w:sz w:val="21"/>
                      <w:szCs w:val="21"/>
                      <w:highlight w:val="none"/>
                    </w:rPr>
                    <w:t>药盒内部为每支药品配备独立的存储空间与传感器，每支药品均有一个可以插入的孔位，孔位中配有传感器装置，</w:t>
                  </w:r>
                  <w:r>
                    <w:rPr>
                      <w:rFonts w:hint="eastAsia" w:asciiTheme="majorEastAsia" w:hAnsiTheme="majorEastAsia" w:eastAsiaTheme="majorEastAsia" w:cstheme="majorEastAsia"/>
                      <w:color w:val="auto"/>
                      <w:sz w:val="21"/>
                      <w:szCs w:val="21"/>
                      <w:highlight w:val="none"/>
                    </w:rPr>
                    <w:t>软件能</w:t>
                  </w:r>
                  <w:r>
                    <w:rPr>
                      <w:rFonts w:hint="eastAsia" w:asciiTheme="majorEastAsia" w:hAnsiTheme="majorEastAsia" w:eastAsiaTheme="majorEastAsia" w:cstheme="majorEastAsia"/>
                      <w:color w:val="auto"/>
                      <w:kern w:val="0"/>
                      <w:sz w:val="21"/>
                      <w:szCs w:val="21"/>
                      <w:highlight w:val="none"/>
                    </w:rPr>
                    <w:t>自动记录取药及补充药品数量；此层抽屉</w:t>
                  </w:r>
                  <w:r>
                    <w:rPr>
                      <w:rFonts w:hint="eastAsia" w:asciiTheme="majorEastAsia" w:hAnsiTheme="majorEastAsia" w:eastAsiaTheme="majorEastAsia" w:cstheme="majorEastAsia"/>
                      <w:color w:val="auto"/>
                      <w:sz w:val="21"/>
                      <w:szCs w:val="21"/>
                      <w:highlight w:val="none"/>
                    </w:rPr>
                    <w:t>每一列须安装≥6个受控药盒且每个药盒内须存储≥4支西林瓶药品；此层抽屉须可存储≥165支西林瓶药品，并能进行单支感应计数</w:t>
                  </w:r>
                  <w:r>
                    <w:rPr>
                      <w:rFonts w:hint="eastAsia" w:asciiTheme="majorEastAsia" w:hAnsiTheme="majorEastAsia" w:eastAsiaTheme="majorEastAsia" w:cstheme="majorEastAsia"/>
                      <w:color w:val="auto"/>
                      <w:kern w:val="0"/>
                      <w:sz w:val="21"/>
                      <w:szCs w:val="21"/>
                      <w:highlight w:val="none"/>
                    </w:rPr>
                    <w:t>（要求提供每种药品的孔位、盒盖自动弹开、及药品存量的实物照片的图片证明及视频证明材料）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kern w:val="0"/>
                      <w:sz w:val="21"/>
                      <w:szCs w:val="21"/>
                      <w:highlight w:val="none"/>
                      <w:lang w:bidi="ar"/>
                    </w:rPr>
                    <w:t>▲</w:t>
                  </w:r>
                  <w:r>
                    <w:rPr>
                      <w:rFonts w:hint="eastAsia" w:asciiTheme="majorEastAsia" w:hAnsiTheme="majorEastAsia" w:eastAsiaTheme="majorEastAsia" w:cstheme="majorEastAsia"/>
                      <w:color w:val="auto"/>
                      <w:sz w:val="21"/>
                      <w:szCs w:val="21"/>
                      <w:highlight w:val="none"/>
                      <w:lang w:bidi="en-US"/>
                    </w:rPr>
                    <w:t>1.4.6</w:t>
                  </w:r>
                </w:p>
              </w:tc>
              <w:tc>
                <w:tcPr>
                  <w:tcW w:w="7837" w:type="dxa"/>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须设置一层受控抽屉安装≥24个受控中药盒；每个受控药盒须有盒盖，</w:t>
                  </w:r>
                  <w:r>
                    <w:rPr>
                      <w:rFonts w:hint="eastAsia" w:asciiTheme="majorEastAsia" w:hAnsiTheme="majorEastAsia" w:eastAsiaTheme="majorEastAsia" w:cstheme="majorEastAsia"/>
                      <w:color w:val="auto"/>
                      <w:kern w:val="0"/>
                      <w:sz w:val="21"/>
                      <w:szCs w:val="21"/>
                      <w:highlight w:val="none"/>
                    </w:rPr>
                    <w:t>药盒盒盖平时处于锁闭状态，点击取药界面时盒盖才会自动垂直开启；</w:t>
                  </w:r>
                  <w:r>
                    <w:rPr>
                      <w:rFonts w:hint="eastAsia" w:asciiTheme="majorEastAsia" w:hAnsiTheme="majorEastAsia" w:eastAsiaTheme="majorEastAsia" w:cstheme="majorEastAsia"/>
                      <w:color w:val="auto"/>
                      <w:sz w:val="21"/>
                      <w:szCs w:val="21"/>
                      <w:highlight w:val="none"/>
                    </w:rPr>
                    <w:t>每个药盒须长度≥10厘米,宽度≥7厘米；每个药盒内须存储≥10支5ml 针剂（须提供清晰实物照片的图片证明及视频证明材料）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▲1.4.7</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须设置一层受控抽屉安装≥12个受控大药盒；每个受控药盒须有盒盖，</w:t>
                  </w:r>
                  <w:r>
                    <w:rPr>
                      <w:rFonts w:hint="eastAsia" w:asciiTheme="majorEastAsia" w:hAnsiTheme="majorEastAsia" w:eastAsiaTheme="majorEastAsia" w:cstheme="majorEastAsia"/>
                      <w:color w:val="auto"/>
                      <w:kern w:val="0"/>
                      <w:sz w:val="21"/>
                      <w:szCs w:val="21"/>
                      <w:highlight w:val="none"/>
                    </w:rPr>
                    <w:t>药盒盒盖平时处于锁闭状态，点击取药界面时盒盖才会自动垂直开启；</w:t>
                  </w:r>
                  <w:r>
                    <w:rPr>
                      <w:rFonts w:hint="eastAsia" w:asciiTheme="majorEastAsia" w:hAnsiTheme="majorEastAsia" w:eastAsiaTheme="majorEastAsia" w:cstheme="majorEastAsia"/>
                      <w:color w:val="auto"/>
                      <w:sz w:val="21"/>
                      <w:szCs w:val="21"/>
                      <w:highlight w:val="none"/>
                    </w:rPr>
                    <w:t>每个药盒内须存储≥15支10ml针剂（须提供清晰实物照片的图片证明及视频证明材料）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▲1.4.8</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须设置一层受控抽屉管控</w:t>
                  </w:r>
                  <w:r>
                    <w:rPr>
                      <w:rFonts w:hint="eastAsia" w:asciiTheme="majorEastAsia" w:hAnsiTheme="majorEastAsia" w:eastAsiaTheme="majorEastAsia" w:cstheme="majorEastAsia"/>
                      <w:color w:val="auto"/>
                      <w:sz w:val="21"/>
                      <w:szCs w:val="21"/>
                      <w:highlight w:val="none"/>
                    </w:rPr>
                    <w:t>≤10ml针剂和西林瓶药品；受控抽屉内的每个</w:t>
                  </w:r>
                  <w:r>
                    <w:rPr>
                      <w:rFonts w:hint="eastAsia" w:asciiTheme="majorEastAsia" w:hAnsiTheme="majorEastAsia" w:eastAsiaTheme="majorEastAsia" w:cstheme="majorEastAsia"/>
                      <w:color w:val="auto"/>
                      <w:kern w:val="0"/>
                      <w:sz w:val="21"/>
                      <w:szCs w:val="21"/>
                      <w:highlight w:val="none"/>
                    </w:rPr>
                    <w:t>药盒内部为每支药品配备独立的存储空间与传感器，每支药品均有一个可以插入的孔位，孔位中配有传感器装置，</w:t>
                  </w:r>
                  <w:r>
                    <w:rPr>
                      <w:rFonts w:hint="eastAsia" w:asciiTheme="majorEastAsia" w:hAnsiTheme="majorEastAsia" w:eastAsiaTheme="majorEastAsia" w:cstheme="majorEastAsia"/>
                      <w:color w:val="auto"/>
                      <w:sz w:val="21"/>
                      <w:szCs w:val="21"/>
                      <w:highlight w:val="none"/>
                    </w:rPr>
                    <w:t>软件能</w:t>
                  </w:r>
                  <w:r>
                    <w:rPr>
                      <w:rFonts w:hint="eastAsia" w:asciiTheme="majorEastAsia" w:hAnsiTheme="majorEastAsia" w:eastAsiaTheme="majorEastAsia" w:cstheme="majorEastAsia"/>
                      <w:color w:val="auto"/>
                      <w:kern w:val="0"/>
                      <w:sz w:val="21"/>
                      <w:szCs w:val="21"/>
                      <w:highlight w:val="none"/>
                    </w:rPr>
                    <w:t>自动记录取药及补充药品数量；存放 1ml或2ml 针剂药品的单支自动感应计数药盒孔位数须≥6个；存放西林瓶针剂药品的单支自动感应计数药盒孔位数须≥4个；存放 5ml 针剂药品的单支自动感应计数药盒孔位数须≥3个；存放 10ml 针剂药品的单支自动感应计数药盒孔位数≥5个（要求提供每种药品的孔位、盒盖自动弹开、及药品存量的实物照片的图片证明及视频证明材料）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1.4.9</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须设置多层非受控抽屉，每层抽屉可存储≥100盒药品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1.5</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副柜不配备抽屉，须配备至少4个正面开启的锁控铁皮门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▲1.5.1</w:t>
                  </w:r>
                </w:p>
              </w:tc>
              <w:tc>
                <w:tcPr>
                  <w:tcW w:w="7837" w:type="dxa"/>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副柜的每个正面开启的铁皮门内须配备至少两个中间隔板；每一个隔板上可划分至少4个存储空间，每个存储空间均须配备数字显示屏，用于显示取退药品的数量，同时为方便用户操作，对应各显示屏还需配备操作按键，须包含“取”、“退”、“ +”、“ -”四个按键；当取退药品时， 主机柜的触摸屏显示器上联动显示所取药品的药品名称和数量。如当取药时，按“ +”“ -”键进行数量选择，当确定好数量后，按“取”键，拿出药品完成取药操作，主机柜的触摸屏显示器上也联动显示所取药品的药品名称和数量（须提供清晰实物照片的图片证明及视频证明材料）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▲1.5.2</w:t>
                  </w:r>
                </w:p>
              </w:tc>
              <w:tc>
                <w:tcPr>
                  <w:tcW w:w="7837" w:type="dxa"/>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副柜须配备至少 4 个正面开启的锁控铁皮门；同时每个锁控铁皮门须安装两个应急机械锁，能够利用钥匙手工打开此铁皮门；每个铁皮门内部空间宽度须≥60cm，高度≥35cm, 纵深≥40cm（须提供清晰实物照片的图片证明及视频证明材料）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bidi="en-US"/>
                    </w:rPr>
                    <w:t>▲1.6</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须根据医院要求定制硬件配置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软件功能要求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2.1</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rPr>
                    <w:t>登录模块：通过输入用户名、密码登录或者指纹登录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2.2</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报警及系统提醒功能模块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2.3</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rPr>
                    <w:t>取药功能模块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bidi="en-US"/>
                    </w:rPr>
                    <w:t>2.4</w:t>
                  </w:r>
                </w:p>
              </w:tc>
              <w:tc>
                <w:tcPr>
                  <w:tcW w:w="7837" w:type="dxa"/>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退药功能模块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2.5</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rPr>
                    <w:t>药品清点功能模块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bidi="en-US"/>
                    </w:rPr>
                    <w:t>2.6</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交接班功能模块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bidi="en-US"/>
                    </w:rPr>
                    <w:t>2.7</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药品存储功能模块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bidi="en-US"/>
                    </w:rPr>
                    <w:t>2.8</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rPr>
                    <w:t>药品补充功能模块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2.9</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实时监控系统（设备）使用情况和远程查看报表功能模块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bidi="en-US"/>
                    </w:rPr>
                    <w:t>2.10</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根据科室实际需要定制符合科室、院方需求及国家关于麻、毒、精类药品管理规定的各类报表，结合实际工作流程及实际需求定制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▲2.11</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须承诺能根据医院实际需求和流程，免费提供软件定制开发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3.1</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嵌入式计算机系统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3.2</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CPU：intel i3以上级别处理器。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3.3</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主板：不低于H77。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3.4</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内存：≥4G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3.5</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硬盘：≥128GB固态硬盘。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3.6</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操作系统为WINDOWS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3.7</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显示器须不小于21寸触摸屏，分辨率≥1440×900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3.8</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配MINI键盘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3.9</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配备指纹仪用于进行用户的身份识别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3.10</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配备热敏打印机，用于临时表单、医嘱的打印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3.11</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配备视频摄像装备，须能实时记录所有的设备操作和存取药品情况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4</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bidi="en-US"/>
                    </w:rPr>
                    <w:t>技术服务条件及其它要求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4.1</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故障响应时间：在质保期内出现质量问题时，厂家应在 1小时内电话响应，2小时内到达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▲4.2</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须能提供满足参数要求的设备备查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▲4.3</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须承诺一个月内交付满足参数要求的设备到用户医院</w:t>
                  </w:r>
                </w:p>
              </w:tc>
            </w:tr>
          </w:tbl>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r>
    </w:tbl>
    <w:p/>
    <w:p/>
    <w:p/>
    <w:p/>
    <w:p/>
    <w:p/>
    <w:p/>
    <w:p/>
    <w:p/>
    <w:p/>
    <w:p/>
    <w:p/>
    <w:p/>
    <w:p/>
    <w:p/>
    <w:p/>
    <w:p/>
    <w:p/>
    <w:p>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jc w:val="center"/>
        <w:rPr>
          <w:rFonts w:ascii="黑体" w:hAnsi="黑体" w:eastAsia="黑体"/>
          <w:sz w:val="36"/>
          <w:szCs w:val="36"/>
        </w:rPr>
      </w:pPr>
      <w:r>
        <w:rPr>
          <w:rFonts w:hint="eastAsia" w:ascii="黑体" w:hAnsi="黑体" w:eastAsia="黑体"/>
          <w:sz w:val="36"/>
          <w:szCs w:val="36"/>
        </w:rPr>
        <w:t>市场调研表</w:t>
      </w:r>
    </w:p>
    <w:tbl>
      <w:tblPr>
        <w:tblStyle w:val="7"/>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5"/>
        <w:gridCol w:w="1668"/>
        <w:gridCol w:w="2287"/>
        <w:gridCol w:w="1901"/>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pPr>
              <w:jc w:val="right"/>
              <w:rPr>
                <w:rFonts w:hint="eastAsia" w:ascii="仿宋" w:hAnsi="仿宋" w:eastAsia="仿宋" w:cs="仿宋"/>
                <w:bCs/>
                <w:sz w:val="32"/>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pPr>
              <w:jc w:val="right"/>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pPr>
              <w:jc w:val="both"/>
              <w:rPr>
                <w:rFonts w:hint="eastAsia" w:ascii="仿宋" w:hAnsi="仿宋" w:eastAsia="仿宋" w:cs="仿宋"/>
                <w:bCs/>
                <w:sz w:val="32"/>
                <w:lang w:eastAsia="zh-CN"/>
              </w:rPr>
            </w:pPr>
          </w:p>
        </w:tc>
        <w:tc>
          <w:tcPr>
            <w:tcW w:w="1004" w:type="pct"/>
            <w:vAlign w:val="center"/>
          </w:tcPr>
          <w:p>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pPr>
              <w:ind w:firstLine="2160" w:firstLineChars="900"/>
              <w:jc w:val="center"/>
              <w:rPr>
                <w:rFonts w:hint="eastAsia"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lang w:eastAsia="zh-CN"/>
              </w:rPr>
            </w:pPr>
          </w:p>
        </w:tc>
        <w:tc>
          <w:tcPr>
            <w:tcW w:w="1208" w:type="pct"/>
            <w:vAlign w:val="top"/>
          </w:tcPr>
          <w:p>
            <w:pPr>
              <w:jc w:val="both"/>
              <w:rPr>
                <w:rFonts w:hint="eastAsia" w:ascii="仿宋" w:hAnsi="仿宋" w:eastAsia="仿宋" w:cs="仿宋"/>
                <w:bCs/>
                <w:sz w:val="30"/>
                <w:szCs w:val="30"/>
                <w:lang w:eastAsia="zh-CN"/>
              </w:rPr>
            </w:pPr>
          </w:p>
        </w:tc>
        <w:tc>
          <w:tcPr>
            <w:tcW w:w="1004" w:type="pct"/>
            <w:vAlign w:val="top"/>
          </w:tcPr>
          <w:p>
            <w:pPr>
              <w:jc w:val="both"/>
              <w:rPr>
                <w:rFonts w:hint="eastAsia" w:ascii="仿宋" w:hAnsi="仿宋" w:eastAsia="仿宋" w:cs="仿宋"/>
                <w:bCs/>
                <w:sz w:val="32"/>
                <w:lang w:eastAsia="zh-CN"/>
              </w:rPr>
            </w:pPr>
          </w:p>
        </w:tc>
        <w:tc>
          <w:tcPr>
            <w:tcW w:w="1465" w:type="pct"/>
            <w:vAlign w:val="top"/>
          </w:tcPr>
          <w:p>
            <w:pPr>
              <w:jc w:val="both"/>
              <w:rPr>
                <w:rFonts w:hint="eastAsia" w:ascii="仿宋" w:hAnsi="仿宋" w:eastAsia="仿宋" w:cs="仿宋"/>
                <w:bCs/>
                <w:sz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pPr>
              <w:tabs>
                <w:tab w:val="left" w:pos="1710"/>
              </w:tabs>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bl>
    <w:p>
      <w:pPr>
        <w:spacing w:line="360" w:lineRule="exact"/>
        <w:rPr>
          <w:rFonts w:hint="eastAsia" w:ascii="宋体" w:hAnsi="宋体" w:cs="宋体"/>
          <w:color w:val="auto"/>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7"/>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rPr>
          <w:color w:val="auto"/>
        </w:rPr>
      </w:pPr>
    </w:p>
    <w:p>
      <w:pPr>
        <w:rPr>
          <w:rFonts w:hint="default" w:eastAsia="宋体"/>
          <w:color w:val="auto"/>
          <w:lang w:val="en-US" w:eastAsia="zh-CN"/>
        </w:rPr>
      </w:pPr>
    </w:p>
    <w:tbl>
      <w:tblPr>
        <w:tblStyle w:val="7"/>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597"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pPr>
              <w:spacing w:line="360" w:lineRule="exact"/>
              <w:jc w:val="center"/>
              <w:rPr>
                <w:rFonts w:ascii="宋体" w:hAnsi="宋体" w:cs="宋体"/>
                <w:color w:val="auto"/>
                <w:sz w:val="28"/>
                <w:szCs w:val="28"/>
              </w:rPr>
            </w:pPr>
          </w:p>
        </w:tc>
        <w:tc>
          <w:tcPr>
            <w:tcW w:w="1315"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936"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pPr>
              <w:spacing w:line="360" w:lineRule="exact"/>
              <w:jc w:val="center"/>
              <w:rPr>
                <w:rFonts w:ascii="宋体" w:hAnsi="宋体" w:cs="宋体"/>
                <w:color w:val="auto"/>
                <w:sz w:val="28"/>
                <w:szCs w:val="28"/>
              </w:rPr>
            </w:pPr>
          </w:p>
        </w:tc>
        <w:tc>
          <w:tcPr>
            <w:tcW w:w="691" w:type="dxa"/>
            <w:vMerge w:val="continue"/>
            <w:vAlign w:val="center"/>
          </w:tcPr>
          <w:p>
            <w:pPr>
              <w:spacing w:line="360" w:lineRule="exact"/>
              <w:jc w:val="center"/>
              <w:rPr>
                <w:rFonts w:hint="eastAsia" w:ascii="宋体" w:hAnsi="宋体" w:cs="宋体"/>
                <w:color w:val="auto"/>
                <w:sz w:val="28"/>
                <w:szCs w:val="28"/>
                <w:lang w:eastAsia="zh-CN"/>
              </w:rPr>
            </w:pPr>
          </w:p>
        </w:tc>
        <w:tc>
          <w:tcPr>
            <w:tcW w:w="974" w:type="dxa"/>
            <w:vMerge w:val="continue"/>
            <w:vAlign w:val="center"/>
          </w:tcPr>
          <w:p>
            <w:pPr>
              <w:spacing w:line="360" w:lineRule="exact"/>
              <w:jc w:val="center"/>
              <w:rPr>
                <w:rFonts w:ascii="宋体" w:hAnsi="宋体" w:cs="宋体"/>
                <w:color w:val="auto"/>
                <w:sz w:val="28"/>
                <w:szCs w:val="28"/>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pPr>
              <w:spacing w:line="360" w:lineRule="exact"/>
              <w:jc w:val="center"/>
              <w:rPr>
                <w:rFonts w:hint="eastAsia" w:ascii="宋体" w:hAnsi="宋体" w:cs="宋体"/>
                <w:color w:val="auto"/>
                <w:sz w:val="28"/>
                <w:szCs w:val="28"/>
                <w:lang w:val="en-US" w:eastAsia="zh-CN"/>
              </w:rPr>
            </w:pPr>
          </w:p>
        </w:tc>
        <w:tc>
          <w:tcPr>
            <w:tcW w:w="846" w:type="dxa"/>
            <w:vAlign w:val="center"/>
          </w:tcPr>
          <w:p>
            <w:pPr>
              <w:spacing w:line="360" w:lineRule="exact"/>
              <w:jc w:val="center"/>
              <w:rPr>
                <w:rFonts w:hint="eastAsia" w:ascii="宋体" w:hAnsi="宋体" w:cs="宋体"/>
                <w:color w:val="auto"/>
                <w:sz w:val="28"/>
                <w:szCs w:val="28"/>
                <w:lang w:val="en-US" w:eastAsia="zh-CN"/>
              </w:rPr>
            </w:pPr>
          </w:p>
        </w:tc>
        <w:tc>
          <w:tcPr>
            <w:tcW w:w="1315"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pPr>
              <w:spacing w:line="360" w:lineRule="exact"/>
              <w:jc w:val="center"/>
              <w:rPr>
                <w:rFonts w:ascii="宋体" w:hAnsi="宋体" w:cs="宋体"/>
                <w:color w:val="auto"/>
                <w:sz w:val="28"/>
                <w:szCs w:val="28"/>
              </w:rPr>
            </w:pPr>
          </w:p>
        </w:tc>
        <w:tc>
          <w:tcPr>
            <w:tcW w:w="1352" w:type="dxa"/>
            <w:vAlign w:val="center"/>
          </w:tcPr>
          <w:p>
            <w:pPr>
              <w:spacing w:line="360" w:lineRule="exact"/>
              <w:jc w:val="center"/>
              <w:rPr>
                <w:rFonts w:ascii="宋体" w:hAnsi="宋体" w:cs="宋体"/>
                <w:color w:val="auto"/>
                <w:sz w:val="28"/>
                <w:szCs w:val="28"/>
              </w:rPr>
            </w:pPr>
          </w:p>
        </w:tc>
        <w:tc>
          <w:tcPr>
            <w:tcW w:w="691" w:type="dxa"/>
            <w:vAlign w:val="center"/>
          </w:tcPr>
          <w:p>
            <w:pPr>
              <w:spacing w:line="360" w:lineRule="exact"/>
              <w:jc w:val="center"/>
              <w:rPr>
                <w:rFonts w:ascii="宋体" w:hAnsi="宋体" w:cs="宋体"/>
                <w:color w:val="auto"/>
                <w:sz w:val="28"/>
                <w:szCs w:val="28"/>
              </w:rPr>
            </w:pPr>
          </w:p>
        </w:tc>
        <w:tc>
          <w:tcPr>
            <w:tcW w:w="974"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pPr>
              <w:spacing w:line="360" w:lineRule="exact"/>
              <w:jc w:val="center"/>
              <w:rPr>
                <w:rFonts w:ascii="宋体" w:hAnsi="宋体" w:cs="宋体"/>
                <w:color w:val="auto"/>
                <w:sz w:val="28"/>
                <w:szCs w:val="28"/>
              </w:rPr>
            </w:pP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pPr>
              <w:spacing w:line="360" w:lineRule="exact"/>
              <w:jc w:val="center"/>
              <w:rPr>
                <w:rFonts w:ascii="宋体" w:hAnsi="宋体" w:cs="宋体"/>
                <w:color w:val="auto"/>
                <w:sz w:val="28"/>
                <w:szCs w:val="28"/>
              </w:rPr>
            </w:pPr>
          </w:p>
        </w:tc>
        <w:tc>
          <w:tcPr>
            <w:tcW w:w="794" w:type="dxa"/>
            <w:vAlign w:val="center"/>
          </w:tcPr>
          <w:p>
            <w:pPr>
              <w:spacing w:line="360" w:lineRule="exact"/>
              <w:jc w:val="center"/>
              <w:rPr>
                <w:rFonts w:ascii="宋体" w:hAnsi="宋体" w:cs="宋体"/>
                <w:color w:val="auto"/>
                <w:sz w:val="28"/>
                <w:szCs w:val="28"/>
              </w:rPr>
            </w:pPr>
          </w:p>
        </w:tc>
      </w:tr>
    </w:tbl>
    <w:p>
      <w:pPr>
        <w:pStyle w:val="12"/>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color w:val="auto"/>
          <w:sz w:val="30"/>
          <w:szCs w:val="30"/>
          <w:shd w:val="clear" w:color="auto" w:fill="FFFFFF"/>
          <w:lang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5EB7E"/>
    <w:multiLevelType w:val="singleLevel"/>
    <w:tmpl w:val="04D5EB7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2YyYjc5NmNlZjQ1YjBiYjA1MDAzZDQ1Yjg0ODQifQ=="/>
  </w:docVars>
  <w:rsids>
    <w:rsidRoot w:val="00000000"/>
    <w:rsid w:val="01251650"/>
    <w:rsid w:val="03787016"/>
    <w:rsid w:val="05AB3068"/>
    <w:rsid w:val="11D84431"/>
    <w:rsid w:val="125216B5"/>
    <w:rsid w:val="233D561A"/>
    <w:rsid w:val="24912949"/>
    <w:rsid w:val="2F7F1D4C"/>
    <w:rsid w:val="33332539"/>
    <w:rsid w:val="388E6A34"/>
    <w:rsid w:val="39467A87"/>
    <w:rsid w:val="396E2E01"/>
    <w:rsid w:val="453E567B"/>
    <w:rsid w:val="4FFB65BA"/>
    <w:rsid w:val="50933AAB"/>
    <w:rsid w:val="54763BDC"/>
    <w:rsid w:val="64230640"/>
    <w:rsid w:val="6AD47947"/>
    <w:rsid w:val="6E355692"/>
    <w:rsid w:val="71C01745"/>
    <w:rsid w:val="748A1470"/>
    <w:rsid w:val="7874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widowControl/>
      <w:spacing w:before="100" w:beforeAutospacing="1" w:after="100" w:afterAutospacing="1"/>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99"/>
    <w:pPr>
      <w:ind w:firstLine="420" w:firstLineChars="200"/>
    </w:pPr>
  </w:style>
  <w:style w:type="paragraph" w:customStyle="1" w:styleId="11">
    <w:name w:val="列出段落1"/>
    <w:basedOn w:val="1"/>
    <w:autoRedefine/>
    <w:qFormat/>
    <w:uiPriority w:val="0"/>
    <w:pPr>
      <w:ind w:firstLine="420" w:firstLineChars="200"/>
    </w:pPr>
  </w:style>
  <w:style w:type="paragraph" w:customStyle="1" w:styleId="12">
    <w:name w:val="z-窗体顶端1"/>
    <w:basedOn w:val="1"/>
    <w:next w:val="1"/>
    <w:autoRedefine/>
    <w:qFormat/>
    <w:uiPriority w:val="0"/>
    <w:pPr>
      <w:pBdr>
        <w:bottom w:val="single" w:color="auto" w:sz="6" w:space="1"/>
      </w:pBdr>
      <w:jc w:val="center"/>
    </w:pPr>
    <w:rPr>
      <w:rFonts w:ascii="Arial" w:hAnsi="Calibri"/>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486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2024-04-25T01:45:00Z</dcterms:created>
  <dc:creator>Administrator</dc:creator>
  <cp:lastModifiedBy>rmyymzb2</cp:lastModifiedBy>
  <cp:lastPrinted>2024-05-31T06:44:04Z</cp:lastPrinted>
  <dcterms:modified xsi:type="dcterms:W3CDTF">2024-05-31T07:12:11Z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5152D689F8764D1183514387A183333E_13</vt:lpwstr>
  </property>
</Properties>
</file>